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839BC" w14:textId="77777777" w:rsidR="00181241" w:rsidRDefault="001812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389C8A0" w14:textId="77777777" w:rsidR="00181241" w:rsidRDefault="00000000">
      <w:pPr>
        <w:rPr>
          <w:rFonts w:ascii="Arial" w:eastAsia="Arial" w:hAnsi="Arial" w:cs="Arial"/>
          <w:b/>
          <w:color w:val="555555"/>
          <w:sz w:val="48"/>
          <w:szCs w:val="48"/>
        </w:rPr>
      </w:pPr>
      <w:r>
        <w:rPr>
          <w:rFonts w:ascii="Arial" w:eastAsia="Arial" w:hAnsi="Arial" w:cs="Arial"/>
          <w:b/>
          <w:color w:val="555555"/>
          <w:sz w:val="48"/>
          <w:szCs w:val="48"/>
        </w:rPr>
        <w:t>CHECKLISTE</w:t>
      </w:r>
    </w:p>
    <w:p w14:paraId="07E293DF" w14:textId="77777777" w:rsidR="00181241" w:rsidRDefault="00000000">
      <w:pPr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b/>
          <w:color w:val="555555"/>
          <w:sz w:val="36"/>
          <w:szCs w:val="36"/>
        </w:rPr>
        <w:t>Voraussetzungen für eine erfolgreiche Einführung von Lexware Office</w:t>
      </w:r>
    </w:p>
    <w:p w14:paraId="1A4F7B26" w14:textId="77777777" w:rsidR="00181241" w:rsidRDefault="00000000">
      <w:pP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Vor dem Start des Einführungsprozesses sollten Sie einige organisatorische und planerische Voraussetzungen klären, die grundlegend für das weitere Gelingen sind:</w:t>
      </w:r>
    </w:p>
    <w:p w14:paraId="76342FED" w14:textId="77777777" w:rsidR="001812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Mandanten-Check durch die Kanzlei: Ist der Einsatz von Lexware Office bei diesem Mandanten sinnvoll?</w:t>
      </w:r>
    </w:p>
    <w:p w14:paraId="4B1F901B" w14:textId="77777777" w:rsidR="001812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 xml:space="preserve">Mandant kann mit IT-Anwendungen/Software umgehen und möchte Lexware Office einsetzen </w:t>
      </w:r>
      <w:r>
        <w:rPr>
          <w:rFonts w:ascii="Wingdings" w:eastAsia="Wingdings" w:hAnsi="Wingdings" w:cs="Wingdings"/>
          <w:color w:val="555555"/>
        </w:rPr>
        <w:t>🡪</w:t>
      </w:r>
      <w:r>
        <w:rPr>
          <w:rFonts w:ascii="Arial" w:eastAsia="Arial" w:hAnsi="Arial" w:cs="Arial"/>
          <w:color w:val="555555"/>
        </w:rPr>
        <w:t xml:space="preserve"> dann ja.</w:t>
      </w:r>
    </w:p>
    <w:p w14:paraId="14E84323" w14:textId="77777777" w:rsidR="001812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 xml:space="preserve">Mandant möchte Lexware Office nutzen - aber weiß noch nicht, wie es geht </w:t>
      </w:r>
      <w:r>
        <w:rPr>
          <w:rFonts w:ascii="Arial" w:eastAsia="Arial" w:hAnsi="Arial" w:cs="Arial"/>
          <w:color w:val="555555"/>
        </w:rPr>
        <w:br/>
      </w:r>
      <w:r>
        <w:rPr>
          <w:rFonts w:ascii="Wingdings" w:eastAsia="Wingdings" w:hAnsi="Wingdings" w:cs="Wingdings"/>
          <w:color w:val="555555"/>
        </w:rPr>
        <w:t>🡪</w:t>
      </w:r>
      <w:r>
        <w:rPr>
          <w:rFonts w:ascii="Arial" w:eastAsia="Arial" w:hAnsi="Arial" w:cs="Arial"/>
          <w:color w:val="555555"/>
        </w:rPr>
        <w:t xml:space="preserve"> dann ja.</w:t>
      </w:r>
    </w:p>
    <w:p w14:paraId="2D645BB3" w14:textId="77777777" w:rsidR="001812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 xml:space="preserve">Mandant kann mit IT-Anwendungen/Software umgehen, möchte sich aber zunächst von Lexware Office überzeugen </w:t>
      </w:r>
      <w:r>
        <w:rPr>
          <w:rFonts w:ascii="Wingdings" w:eastAsia="Wingdings" w:hAnsi="Wingdings" w:cs="Wingdings"/>
          <w:color w:val="555555"/>
        </w:rPr>
        <w:t>🡪</w:t>
      </w:r>
      <w:r>
        <w:rPr>
          <w:rFonts w:ascii="Arial" w:eastAsia="Arial" w:hAnsi="Arial" w:cs="Arial"/>
          <w:color w:val="555555"/>
        </w:rPr>
        <w:t xml:space="preserve"> dann ja.</w:t>
      </w:r>
    </w:p>
    <w:p w14:paraId="7E1EAE87" w14:textId="77777777" w:rsidR="0018124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 xml:space="preserve">Mandant kann nicht mit IT-Anwendungen/Software umgehen und möchte auch Lexware Office nicht nutzen </w:t>
      </w:r>
      <w:r>
        <w:rPr>
          <w:rFonts w:ascii="Wingdings" w:eastAsia="Wingdings" w:hAnsi="Wingdings" w:cs="Wingdings"/>
          <w:color w:val="000000"/>
        </w:rPr>
        <w:t>🡪</w:t>
      </w:r>
      <w:r>
        <w:rPr>
          <w:rFonts w:ascii="Arial" w:eastAsia="Arial" w:hAnsi="Arial" w:cs="Arial"/>
          <w:color w:val="555555"/>
        </w:rPr>
        <w:t xml:space="preserve"> dann nein.</w:t>
      </w:r>
    </w:p>
    <w:p w14:paraId="7A1A5C56" w14:textId="77777777" w:rsidR="00181241" w:rsidRDefault="00000000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38F2083" wp14:editId="54DF3521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637475" cy="12700"/>
                <wp:effectExtent l="0" t="0" r="0" b="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637475" cy="12700"/>
                <wp:effectExtent b="0" l="0" r="0" t="0"/>
                <wp:wrapNone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74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05553A4" w14:textId="77777777" w:rsidR="00181241" w:rsidRDefault="00181241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447692EB" w14:textId="77777777" w:rsidR="001812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357" w:hanging="357"/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Kennt der Mandant Lexware Office schon?</w:t>
      </w:r>
    </w:p>
    <w:p w14:paraId="13EF2122" w14:textId="77777777" w:rsidR="001812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Ja und arbeitet bereits damit (z. B. Neumandant): Der Einführungsprozess sollte trotzdem durchgesprochen, Abweichungen identifiziert und die Zusammenarbeit definiert werden.</w:t>
      </w:r>
    </w:p>
    <w:p w14:paraId="57D6CE12" w14:textId="77777777" w:rsidR="001812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Ja und ist bereits überzeugt von Lexware Office: Sie können den Einführungsprozess starten.</w:t>
      </w:r>
    </w:p>
    <w:p w14:paraId="66AC75A2" w14:textId="77777777" w:rsidR="0018124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Nein: Überzeugen Sie den Mandanten mit einer kleinen Demonstration der wichtigsten Funktionen.</w:t>
      </w:r>
    </w:p>
    <w:p w14:paraId="0129B3AD" w14:textId="77777777" w:rsidR="00181241" w:rsidRDefault="00000000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2061047" wp14:editId="0DAB2CBE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637475" cy="12700"/>
                <wp:effectExtent l="0" t="0" r="0" b="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637475" cy="12700"/>
                <wp:effectExtent b="0" l="0" r="0" t="0"/>
                <wp:wrapNone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74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7DEB5EF" w14:textId="77777777" w:rsidR="00181241" w:rsidRDefault="00181241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75F6739B" w14:textId="77777777" w:rsidR="001812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357" w:hanging="357"/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Dem Mandanten wurde die Notwendigkeit und der Ablauf des Onboarding-Prozesses für die Zusammenarbeit über Lexware Office vermittelt.</w:t>
      </w:r>
    </w:p>
    <w:p w14:paraId="0ABDE830" w14:textId="77777777" w:rsidR="00181241" w:rsidRDefault="00000000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AE02A4B" wp14:editId="04C38512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039C723" w14:textId="77777777" w:rsidR="00161B3D" w:rsidRDefault="00161B3D" w:rsidP="00161B3D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3997C81" wp14:editId="624A4531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5637475" cy="12700"/>
                <wp:effectExtent l="0" t="0" r="0" b="0"/>
                <wp:wrapNone/>
                <wp:docPr id="903948248" name="Gerade Verbindung mit Pfeil 903948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521A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03948248" o:spid="_x0000_s1026" type="#_x0000_t32" style="position:absolute;margin-left:0;margin-top:7pt;width:443.9pt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" strokecolor="#555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32813C0D" w14:textId="77777777" w:rsidR="00181241" w:rsidRDefault="00181241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22E9848F" w14:textId="77777777" w:rsidR="0018124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357" w:hanging="357"/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Termin mit dem Mandanten wurde vereinbart, um Lexware Office einzuführen.</w:t>
      </w:r>
    </w:p>
    <w:sectPr w:rsidR="00181241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E60F3" w14:textId="77777777" w:rsidR="007B47C1" w:rsidRDefault="007B47C1">
      <w:pPr>
        <w:spacing w:after="0" w:line="240" w:lineRule="auto"/>
      </w:pPr>
      <w:r>
        <w:separator/>
      </w:r>
    </w:p>
  </w:endnote>
  <w:endnote w:type="continuationSeparator" w:id="0">
    <w:p w14:paraId="2240F7E2" w14:textId="77777777" w:rsidR="007B47C1" w:rsidRDefault="007B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  <w:embedRegular r:id="rId1" w:fontKey="{A65F8625-2941-974C-A109-D45717D1C9E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D992CA45-0817-FD43-BB5C-1B1E12EA74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65E4BA4-9934-394F-8430-BF6F9A1B56E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9A62D14-FEB4-D54C-A918-86EAB87D4A59}"/>
    <w:embedBold r:id="rId5" w:fontKey="{DFC5F9FD-5828-9943-9A4F-22AB14B796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508A79F-4322-BB4E-818F-721CD3BA3407}"/>
    <w:embedItalic r:id="rId7" w:fontKey="{D345A487-C969-9045-8275-0E70EA7DA7B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50DF56BD-74A1-0C40-8DE9-5E33212E81AA}"/>
    <w:embedBold r:id="rId9" w:fontKey="{3F67305C-AA05-2B4E-A1E1-A4EDB139392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BFD4167A-186A-CD47-A45B-7B2BFFE696D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EAD1C538-61FB-9A43-BA47-C5D68CABFD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7878E" w14:textId="77777777" w:rsidR="001812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555555"/>
        <w:sz w:val="18"/>
        <w:szCs w:val="18"/>
      </w:rPr>
    </w:pPr>
    <w:r>
      <w:rPr>
        <w:rFonts w:ascii="Arial" w:eastAsia="Arial" w:hAnsi="Arial" w:cs="Arial"/>
        <w:color w:val="555555"/>
        <w:sz w:val="18"/>
        <w:szCs w:val="18"/>
      </w:rPr>
      <w:t>Checkliste – Einführung von Lexware Office</w:t>
    </w:r>
    <w:r>
      <w:rPr>
        <w:rFonts w:ascii="Arial" w:eastAsia="Arial" w:hAnsi="Arial" w:cs="Arial"/>
        <w:color w:val="555555"/>
        <w:sz w:val="18"/>
        <w:szCs w:val="18"/>
      </w:rPr>
      <w:tab/>
      <w:t xml:space="preserve">                                                     Seite </w:t>
    </w:r>
    <w:r>
      <w:rPr>
        <w:rFonts w:ascii="Arial" w:eastAsia="Arial" w:hAnsi="Arial" w:cs="Arial"/>
        <w:color w:val="555555"/>
        <w:sz w:val="18"/>
        <w:szCs w:val="18"/>
      </w:rPr>
      <w:fldChar w:fldCharType="begin"/>
    </w:r>
    <w:r>
      <w:rPr>
        <w:rFonts w:ascii="Arial" w:eastAsia="Arial" w:hAnsi="Arial" w:cs="Arial"/>
        <w:color w:val="555555"/>
        <w:sz w:val="18"/>
        <w:szCs w:val="18"/>
      </w:rPr>
      <w:instrText>PAGE</w:instrText>
    </w:r>
    <w:r>
      <w:rPr>
        <w:rFonts w:ascii="Arial" w:eastAsia="Arial" w:hAnsi="Arial" w:cs="Arial"/>
        <w:color w:val="555555"/>
        <w:sz w:val="18"/>
        <w:szCs w:val="18"/>
      </w:rPr>
      <w:fldChar w:fldCharType="separate"/>
    </w:r>
    <w:r w:rsidR="00161B3D">
      <w:rPr>
        <w:rFonts w:ascii="Arial" w:eastAsia="Arial" w:hAnsi="Arial" w:cs="Arial"/>
        <w:noProof/>
        <w:color w:val="555555"/>
        <w:sz w:val="18"/>
        <w:szCs w:val="18"/>
      </w:rPr>
      <w:t>1</w:t>
    </w:r>
    <w:r>
      <w:rPr>
        <w:rFonts w:ascii="Arial" w:eastAsia="Arial" w:hAnsi="Arial" w:cs="Arial"/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3D7B0" w14:textId="77777777" w:rsidR="007B47C1" w:rsidRDefault="007B47C1">
      <w:pPr>
        <w:spacing w:after="0" w:line="240" w:lineRule="auto"/>
      </w:pPr>
      <w:r>
        <w:separator/>
      </w:r>
    </w:p>
  </w:footnote>
  <w:footnote w:type="continuationSeparator" w:id="0">
    <w:p w14:paraId="20061674" w14:textId="77777777" w:rsidR="007B47C1" w:rsidRDefault="007B4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FCD77" w14:textId="77777777" w:rsidR="00181241" w:rsidRDefault="00000000">
    <w:pP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114300" distB="114300" distL="114300" distR="114300" wp14:anchorId="34AC8CAE" wp14:editId="422BF244">
          <wp:extent cx="969029" cy="279212"/>
          <wp:effectExtent l="0" t="0" r="0" b="635"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511" cy="2897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96A00"/>
    <w:multiLevelType w:val="multilevel"/>
    <w:tmpl w:val="B2005C4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4E234F"/>
    <w:multiLevelType w:val="multilevel"/>
    <w:tmpl w:val="69C885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EF01E5"/>
    <w:multiLevelType w:val="multilevel"/>
    <w:tmpl w:val="A7B2F638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5497401">
    <w:abstractNumId w:val="2"/>
  </w:num>
  <w:num w:numId="2" w16cid:durableId="1231159893">
    <w:abstractNumId w:val="1"/>
  </w:num>
  <w:num w:numId="3" w16cid:durableId="104467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241"/>
    <w:rsid w:val="00161B3D"/>
    <w:rsid w:val="00181241"/>
    <w:rsid w:val="00645BCE"/>
    <w:rsid w:val="007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561D"/>
  <w15:docId w15:val="{78309470-E346-8847-A8C9-6AE9B658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tzhaltertext">
    <w:name w:val="Placeholder Text"/>
    <w:basedOn w:val="Absatz-Standardschriftart"/>
    <w:uiPriority w:val="99"/>
    <w:semiHidden/>
    <w:rsid w:val="00790B41"/>
    <w:rPr>
      <w:color w:val="808080"/>
    </w:rPr>
  </w:style>
  <w:style w:type="paragraph" w:styleId="Listenabsatz">
    <w:name w:val="List Paragraph"/>
    <w:basedOn w:val="Standard"/>
    <w:uiPriority w:val="34"/>
    <w:qFormat/>
    <w:rsid w:val="00790B4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489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489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54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4B4F"/>
  </w:style>
  <w:style w:type="paragraph" w:styleId="Fuzeile">
    <w:name w:val="footer"/>
    <w:basedOn w:val="Standard"/>
    <w:link w:val="FuzeileZchn"/>
    <w:uiPriority w:val="99"/>
    <w:unhideWhenUsed/>
    <w:rsid w:val="00C54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4B4F"/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Wn9JzkpmBYmCJ5XAYLE/KH45Q==">CgMxLjA4AHIhMVVlT3NDbnFJY2szMGxyVHktTlRiMkJIX3BWSHBPZHdQ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Nassall, Patrick</dc:creator>
  <cp:lastModifiedBy>Schoedl, Lina</cp:lastModifiedBy>
  <cp:revision>2</cp:revision>
  <dcterms:created xsi:type="dcterms:W3CDTF">2023-11-14T08:38:00Z</dcterms:created>
  <dcterms:modified xsi:type="dcterms:W3CDTF">2024-09-20T13:16:00Z</dcterms:modified>
</cp:coreProperties>
</file>